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SKG 2003 61 vom 21. Januar 2004</w:t>
      </w:r>
    </w:p>
    <w:p>
      <w:r>
        <w:t>GR Gerichte, 2004-01-21, DE</w:t>
      </w:r>
    </w:p>
    <w:p>
      <w:r>
        <w:rPr>
          <w:b/>
        </w:rPr>
        <w:t xml:space="preserve">Quelle: </w:t>
      </w:r>
      <w:r>
        <w:t>https://mcp.opencaselaw.ch/entscheid/gr_gerichte_SKG 2003 61</w:t>
      </w:r>
    </w:p>
    <w:p>
      <w:r>
        <w:t>FR: GR_GERICHTE SKG 2003 61 du 21 janvier 2004</w:t>
      </w:r>
    </w:p>
    <w:p>
      <w:r>
        <w:t>IT: GR_GERICHTE SKG 2003 61 del 21 gennaio 2004</w:t>
      </w:r>
    </w:p>
    <w:p>
      <w:pPr>
        <w:pStyle w:val="Heading2"/>
      </w:pPr>
      <w:r>
        <w:t>Regeste</w:t>
      </w:r>
    </w:p>
    <w:p>
      <w:r>
        <w:t>definitive Rechtsöffnung | Rechtsöffnung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Gläubiger wird verpflichtet, bis zum 20. November 2003 einen Gerichts- kostenvorschuss von Fr. 120.-- (mit beiliegendem Einzahlungsschein auf PC 70-4650-5) zu bezahlen.</w:t>
      </w:r>
    </w:p>
    <w:p>
      <w:r>
        <w:rPr>
          <w:b/>
        </w:rPr>
        <w:t>E. 3</w:t>
      </w:r>
    </w:p>
    <w:p>
      <w:r>
        <w:t>(Rechtsmittelbelehrung).</w:t>
      </w:r>
    </w:p>
    <w:p>
      <w:r>
        <w:rPr>
          <w:b/>
        </w:rPr>
        <w:t>E. 4</w:t>
      </w:r>
    </w:p>
    <w:p>
      <w:r>
        <w:t>Der Kantonsgerichtsausschuss zieht in Erwägung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